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B2" w:rsidRDefault="003D76B2" w:rsidP="003D76B2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6946"/>
      </w:tblGrid>
      <w:tr w:rsidR="003D76B2" w:rsidTr="000C6D3D">
        <w:trPr>
          <w:trHeight w:val="1550"/>
        </w:trPr>
        <w:tc>
          <w:tcPr>
            <w:tcW w:w="6946" w:type="dxa"/>
          </w:tcPr>
          <w:p w:rsidR="003D76B2" w:rsidRPr="00096175" w:rsidRDefault="003D76B2" w:rsidP="000C6D3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175">
              <w:rPr>
                <w:rFonts w:ascii="Times New Roman" w:hAnsi="Times New Roman" w:cs="Times New Roman"/>
                <w:b/>
                <w:sz w:val="20"/>
                <w:szCs w:val="20"/>
              </w:rPr>
              <w:t>Hypothèse fondamentale de 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096175">
              <w:rPr>
                <w:rFonts w:ascii="Times New Roman" w:hAnsi="Times New Roman" w:cs="Times New Roman"/>
                <w:b/>
                <w:sz w:val="20"/>
                <w:szCs w:val="20"/>
              </w:rPr>
              <w:t>analyse socio-économique</w:t>
            </w:r>
          </w:p>
          <w:p w:rsidR="003D76B2" w:rsidRDefault="003D76B2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6B2" w:rsidRDefault="003D76B2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0AD6B12" wp14:editId="37F15008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72390</wp:posOffset>
                      </wp:positionV>
                      <wp:extent cx="324000" cy="0"/>
                      <wp:effectExtent l="0" t="76200" r="19050" b="114300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57C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77.45pt;margin-top:5.7pt;width:25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 wp14:anchorId="5867DE08" wp14:editId="23BDACE7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132715</wp:posOffset>
                      </wp:positionV>
                      <wp:extent cx="0" cy="272415"/>
                      <wp:effectExtent l="95250" t="38100" r="57150" b="13335"/>
                      <wp:wrapNone/>
                      <wp:docPr id="10" name="Connecteur droit avec flèch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41DB" id="Connecteur droit avec flèche 10" o:spid="_x0000_s1026" type="#_x0000_t32" style="position:absolute;margin-left:138.45pt;margin-top:10.45pt;width:0;height:21.45pt;flip:y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0EE10DF" wp14:editId="380A0BA3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46355</wp:posOffset>
                      </wp:positionV>
                      <wp:extent cx="720000" cy="0"/>
                      <wp:effectExtent l="0" t="76200" r="23495" b="11430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029E7" id="Connecteur droit avec flèche 2" o:spid="_x0000_s1026" type="#_x0000_t32" style="position:absolute;margin-left:45.15pt;margin-top:3.65pt;width:56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 wp14:anchorId="3E9EE525" wp14:editId="70C9A45D">
                      <wp:simplePos x="0" y="0"/>
                      <wp:positionH relativeFrom="column">
                        <wp:posOffset>205739</wp:posOffset>
                      </wp:positionH>
                      <wp:positionV relativeFrom="paragraph">
                        <wp:posOffset>132715</wp:posOffset>
                      </wp:positionV>
                      <wp:extent cx="0" cy="272415"/>
                      <wp:effectExtent l="95250" t="38100" r="57150" b="13335"/>
                      <wp:wrapNone/>
                      <wp:docPr id="8" name="Connecteur droit avec flèch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94ECF" id="Connecteur droit avec flèche 8" o:spid="_x0000_s1026" type="#_x0000_t32" style="position:absolute;margin-left:16.2pt;margin-top:10.45pt;width:0;height:21.45pt;flip:y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02B38185" wp14:editId="3B7C7700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130810</wp:posOffset>
                      </wp:positionV>
                      <wp:extent cx="720000" cy="0"/>
                      <wp:effectExtent l="38100" t="76200" r="0" b="114300"/>
                      <wp:wrapNone/>
                      <wp:docPr id="6" name="Connecteur droit avec flèch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9D44F" id="Connecteur droit avec flèche 6" o:spid="_x0000_s1026" type="#_x0000_t32" style="position:absolute;margin-left:45.15pt;margin-top:10.3pt;width:56.7pt;height:0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Structures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Comportements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Dysfonctionnements </w:t>
            </w:r>
          </w:p>
          <w:p w:rsidR="003D76B2" w:rsidRDefault="003D76B2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746D30C5" wp14:editId="1BF4FD7D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15875</wp:posOffset>
                      </wp:positionV>
                      <wp:extent cx="0" cy="280035"/>
                      <wp:effectExtent l="95250" t="0" r="57150" b="62865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0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1A086" id="Connecteur droit avec flèche 4" o:spid="_x0000_s1026" type="#_x0000_t32" style="position:absolute;margin-left:251.75pt;margin-top:1.25pt;width:0;height:22.0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D76B2" w:rsidRDefault="003D76B2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3F98091D" wp14:editId="46A27EF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113029</wp:posOffset>
                      </wp:positionV>
                      <wp:extent cx="1562735" cy="0"/>
                      <wp:effectExtent l="0" t="0" r="37465" b="19050"/>
                      <wp:wrapNone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2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CADA9" id="Connecteur droit 1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2pt,8.9pt" to="13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D76B2" w:rsidRPr="00096175" w:rsidRDefault="003D76B2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62ECC27C" wp14:editId="2FEDEE35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73660</wp:posOffset>
                      </wp:positionV>
                      <wp:extent cx="720000" cy="0"/>
                      <wp:effectExtent l="0" t="76200" r="23495" b="114300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38624" id="Connecteur droit avec flèche 5" o:spid="_x0000_s1026" type="#_x0000_t32" style="position:absolute;margin-left:150.35pt;margin-top:5.8pt;width:56.7pt;height:0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Performances économiques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Coûts cachés</w:t>
            </w:r>
          </w:p>
        </w:tc>
      </w:tr>
    </w:tbl>
    <w:p w:rsidR="003D76B2" w:rsidRDefault="003D76B2" w:rsidP="003D76B2">
      <w:pPr>
        <w:pStyle w:val="Paragraphedeliste"/>
        <w:ind w:left="0"/>
        <w:rPr>
          <w:rFonts w:ascii="Times New Roman" w:hAnsi="Times New Roman" w:cs="Times New Roman"/>
          <w:i/>
          <w:sz w:val="24"/>
          <w:szCs w:val="24"/>
        </w:rPr>
      </w:pPr>
      <w:r w:rsidRPr="003301DC">
        <w:rPr>
          <w:rFonts w:ascii="Times New Roman" w:hAnsi="Times New Roman" w:cs="Times New Roman"/>
          <w:sz w:val="24"/>
          <w:szCs w:val="24"/>
        </w:rPr>
        <w:t>Figure 1.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Hypothèse fondamentale de l’analyse</w:t>
      </w:r>
      <w:r w:rsidRPr="001D7E0F">
        <w:rPr>
          <w:rFonts w:ascii="Times New Roman" w:hAnsi="Times New Roman" w:cs="Times New Roman"/>
          <w:sz w:val="24"/>
          <w:szCs w:val="24"/>
        </w:rPr>
        <w:t xml:space="preserve"> socio-économique </w:t>
      </w:r>
      <w:r>
        <w:rPr>
          <w:rFonts w:ascii="Times New Roman" w:hAnsi="Times New Roman" w:cs="Times New Roman"/>
          <w:sz w:val="24"/>
          <w:szCs w:val="24"/>
        </w:rPr>
        <w:t>d’une organisation.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76B2" w:rsidRPr="003D76B2" w:rsidRDefault="003D76B2" w:rsidP="003D76B2">
      <w:pPr>
        <w:pStyle w:val="Paragraphedeliste"/>
        <w:ind w:left="0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</w:rPr>
        <w:t xml:space="preserve">Source : </w:t>
      </w:r>
      <w:r w:rsidRPr="00D15A19">
        <w:rPr>
          <w:rFonts w:ascii="Times New Roman" w:hAnsi="Times New Roman" w:cs="Times New Roman"/>
          <w:i/>
        </w:rPr>
        <w:t xml:space="preserve">Sandra </w:t>
      </w:r>
      <w:proofErr w:type="spellStart"/>
      <w:r w:rsidRPr="00D15A19">
        <w:rPr>
          <w:rFonts w:ascii="Times New Roman" w:hAnsi="Times New Roman" w:cs="Times New Roman"/>
          <w:i/>
        </w:rPr>
        <w:t>Bertézène</w:t>
      </w:r>
      <w:proofErr w:type="spellEnd"/>
      <w:r w:rsidRPr="00D15A19">
        <w:rPr>
          <w:rFonts w:ascii="Times New Roman" w:hAnsi="Times New Roman" w:cs="Times New Roman"/>
          <w:i/>
        </w:rPr>
        <w:t xml:space="preserve">, enseignante-chercheuse </w:t>
      </w:r>
      <w:proofErr w:type="spellStart"/>
      <w:r w:rsidRPr="003D76B2">
        <w:rPr>
          <w:rFonts w:ascii="Times New Roman" w:hAnsi="Times New Roman" w:cs="Times New Roman"/>
          <w:i/>
        </w:rPr>
        <w:t>Cnam</w:t>
      </w:r>
      <w:proofErr w:type="spellEnd"/>
      <w:r w:rsidRPr="003D76B2">
        <w:rPr>
          <w:rFonts w:ascii="Times New Roman" w:hAnsi="Times New Roman" w:cs="Times New Roman"/>
          <w:i/>
        </w:rPr>
        <w:t>, 2021.</w:t>
      </w:r>
    </w:p>
    <w:p w:rsidR="0007153A" w:rsidRDefault="0007153A" w:rsidP="000715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2"/>
        <w:gridCol w:w="2892"/>
        <w:gridCol w:w="1928"/>
        <w:gridCol w:w="2730"/>
      </w:tblGrid>
      <w:tr w:rsidR="0007153A" w:rsidTr="000C6D3D">
        <w:tc>
          <w:tcPr>
            <w:tcW w:w="1512" w:type="dxa"/>
          </w:tcPr>
          <w:p w:rsidR="0007153A" w:rsidRPr="00E805F3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5F3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È</w:t>
            </w:r>
            <w:r w:rsidRPr="00E805F3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</w:tc>
        <w:tc>
          <w:tcPr>
            <w:tcW w:w="2892" w:type="dxa"/>
          </w:tcPr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5F3">
              <w:rPr>
                <w:rFonts w:ascii="Times New Roman" w:hAnsi="Times New Roman" w:cs="Times New Roman"/>
                <w:b/>
                <w:sz w:val="20"/>
                <w:szCs w:val="20"/>
              </w:rPr>
              <w:t>SOUS-TH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È</w:t>
            </w:r>
            <w:r w:rsidRPr="00E805F3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</w:tc>
        <w:tc>
          <w:tcPr>
            <w:tcW w:w="1928" w:type="dxa"/>
          </w:tcPr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5F3">
              <w:rPr>
                <w:rFonts w:ascii="Times New Roman" w:hAnsi="Times New Roman" w:cs="Times New Roman"/>
                <w:b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È</w:t>
            </w:r>
            <w:r w:rsidRPr="00E805F3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</w:tc>
        <w:tc>
          <w:tcPr>
            <w:tcW w:w="2730" w:type="dxa"/>
          </w:tcPr>
          <w:p w:rsidR="0007153A" w:rsidRPr="00E805F3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5F3">
              <w:rPr>
                <w:rFonts w:ascii="Times New Roman" w:hAnsi="Times New Roman" w:cs="Times New Roman"/>
                <w:b/>
                <w:sz w:val="20"/>
                <w:szCs w:val="20"/>
              </w:rPr>
              <w:t>SOUS-TH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È</w:t>
            </w:r>
            <w:r w:rsidRPr="00E805F3">
              <w:rPr>
                <w:rFonts w:ascii="Times New Roman" w:hAnsi="Times New Roman" w:cs="Times New Roman"/>
                <w:b/>
                <w:sz w:val="20"/>
                <w:szCs w:val="20"/>
              </w:rPr>
              <w:t>MES</w:t>
            </w:r>
          </w:p>
        </w:tc>
      </w:tr>
      <w:tr w:rsidR="0007153A" w:rsidTr="000C6D3D">
        <w:tc>
          <w:tcPr>
            <w:tcW w:w="1512" w:type="dxa"/>
          </w:tcPr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E70">
              <w:rPr>
                <w:rFonts w:ascii="Times New Roman" w:hAnsi="Times New Roman" w:cs="Times New Roman"/>
                <w:sz w:val="18"/>
                <w:szCs w:val="18"/>
              </w:rPr>
              <w:t xml:space="preserve">Conditions </w:t>
            </w:r>
          </w:p>
          <w:p w:rsidR="0007153A" w:rsidRPr="00144E70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E70">
              <w:rPr>
                <w:rFonts w:ascii="Times New Roman" w:hAnsi="Times New Roman" w:cs="Times New Roman"/>
                <w:sz w:val="18"/>
                <w:szCs w:val="18"/>
              </w:rPr>
              <w:t>de travail</w:t>
            </w:r>
          </w:p>
        </w:tc>
        <w:tc>
          <w:tcPr>
            <w:tcW w:w="2892" w:type="dxa"/>
          </w:tcPr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Matériel et fournitures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Aménagement et agencement des locaux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Nuisances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Charge physique de travail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Horaires de travail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Ambiance de travail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7153A" w:rsidRPr="00144E70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E70">
              <w:rPr>
                <w:rFonts w:ascii="Times New Roman" w:hAnsi="Times New Roman" w:cs="Times New Roman"/>
                <w:sz w:val="18"/>
                <w:szCs w:val="18"/>
              </w:rPr>
              <w:t>Gestion du temps</w:t>
            </w:r>
          </w:p>
        </w:tc>
        <w:tc>
          <w:tcPr>
            <w:tcW w:w="2730" w:type="dxa"/>
          </w:tcPr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Respect des délais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Tâches mal assumées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Planification, programmation des actions</w:t>
            </w:r>
          </w:p>
          <w:p w:rsidR="0007153A" w:rsidRPr="00144E70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Facteurs perturbateurs de la gestion du temps</w:t>
            </w:r>
          </w:p>
        </w:tc>
      </w:tr>
      <w:tr w:rsidR="0007153A" w:rsidTr="000C6D3D">
        <w:tc>
          <w:tcPr>
            <w:tcW w:w="1512" w:type="dxa"/>
          </w:tcPr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E70">
              <w:rPr>
                <w:rFonts w:ascii="Times New Roman" w:hAnsi="Times New Roman" w:cs="Times New Roman"/>
                <w:sz w:val="18"/>
                <w:szCs w:val="18"/>
              </w:rPr>
              <w:t>Organisation</w:t>
            </w:r>
          </w:p>
          <w:p w:rsidR="0007153A" w:rsidRPr="00144E70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E70">
              <w:rPr>
                <w:rFonts w:ascii="Times New Roman" w:hAnsi="Times New Roman" w:cs="Times New Roman"/>
                <w:sz w:val="18"/>
                <w:szCs w:val="18"/>
              </w:rPr>
              <w:t xml:space="preserve"> du travail</w:t>
            </w:r>
          </w:p>
        </w:tc>
        <w:tc>
          <w:tcPr>
            <w:tcW w:w="2892" w:type="dxa"/>
          </w:tcPr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Répartition des tâches, des missions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Intérêt du travail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Charge de travail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Réorganisation des services et départements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Autonomie dans le travail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Règles et procédures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Polyvalence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Organigramme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Régulation de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absentéisme</w:t>
            </w:r>
          </w:p>
        </w:tc>
        <w:tc>
          <w:tcPr>
            <w:tcW w:w="1928" w:type="dxa"/>
          </w:tcPr>
          <w:p w:rsidR="0007153A" w:rsidRPr="00144E70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E70">
              <w:rPr>
                <w:rFonts w:ascii="Times New Roman" w:hAnsi="Times New Roman" w:cs="Times New Roman"/>
                <w:sz w:val="18"/>
                <w:szCs w:val="18"/>
              </w:rPr>
              <w:t>Formation intégrée</w:t>
            </w:r>
          </w:p>
        </w:tc>
        <w:tc>
          <w:tcPr>
            <w:tcW w:w="2730" w:type="dxa"/>
          </w:tcPr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Adéquation formation-emploi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Dispositifs de formation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Compétences disponibles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Besoins de formation</w:t>
            </w:r>
          </w:p>
          <w:p w:rsidR="0007153A" w:rsidRPr="00144E70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Formation et changement technique</w:t>
            </w:r>
          </w:p>
        </w:tc>
      </w:tr>
      <w:tr w:rsidR="0007153A" w:rsidTr="000C6D3D">
        <w:tc>
          <w:tcPr>
            <w:tcW w:w="1512" w:type="dxa"/>
          </w:tcPr>
          <w:p w:rsidR="0007153A" w:rsidRPr="00144E70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E70">
              <w:rPr>
                <w:rFonts w:ascii="Times New Roman" w:hAnsi="Times New Roman" w:cs="Times New Roman"/>
                <w:sz w:val="18"/>
                <w:szCs w:val="18"/>
              </w:rPr>
              <w:t>Communication-Coordination-Concertation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4E70">
              <w:rPr>
                <w:rFonts w:ascii="Times New Roman" w:hAnsi="Times New Roman" w:cs="Times New Roman"/>
                <w:sz w:val="18"/>
                <w:szCs w:val="18"/>
              </w:rPr>
              <w:t>(3C)</w:t>
            </w:r>
          </w:p>
        </w:tc>
        <w:tc>
          <w:tcPr>
            <w:tcW w:w="2892" w:type="dxa"/>
          </w:tcPr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3C horizontale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3C verticale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Transmissions des informations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Relation avec les services environnants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3C au niveau de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équipe de Direction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3C entre maison-mère et filiale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3C interne au service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3C entre élus et fonctionnaires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3C entre direction et siège (ou département)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3C entre réseau et siège</w:t>
            </w:r>
          </w:p>
        </w:tc>
        <w:tc>
          <w:tcPr>
            <w:tcW w:w="1928" w:type="dxa"/>
          </w:tcPr>
          <w:p w:rsidR="0007153A" w:rsidRPr="00144E70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4E70">
              <w:rPr>
                <w:rFonts w:ascii="Times New Roman" w:hAnsi="Times New Roman" w:cs="Times New Roman"/>
                <w:sz w:val="18"/>
                <w:szCs w:val="18"/>
              </w:rPr>
              <w:t>Mise en œuvre stratégique</w:t>
            </w:r>
          </w:p>
        </w:tc>
        <w:tc>
          <w:tcPr>
            <w:tcW w:w="2730" w:type="dxa"/>
          </w:tcPr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Orientations stratégiques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Auteurs de la stratégie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Démultiplication et organisation de la mise en œuvre stratégique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Système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Gestion du personnel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Outils de la mise en œuvre stratégique</w:t>
            </w:r>
          </w:p>
          <w:p w:rsidR="0007153A" w:rsidRPr="003B465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Mode de management</w:t>
            </w:r>
          </w:p>
          <w:p w:rsidR="0007153A" w:rsidRPr="00144E70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465D">
              <w:rPr>
                <w:rFonts w:ascii="Times New Roman" w:hAnsi="Times New Roman" w:cs="Times New Roman"/>
                <w:sz w:val="16"/>
                <w:szCs w:val="16"/>
              </w:rPr>
              <w:t>Moyen de la mise en œuvre stratégique</w:t>
            </w:r>
          </w:p>
        </w:tc>
      </w:tr>
    </w:tbl>
    <w:p w:rsidR="0007153A" w:rsidRPr="0007153A" w:rsidRDefault="0007153A" w:rsidP="0007153A">
      <w:pPr>
        <w:pStyle w:val="Paragraphedeliste"/>
        <w:ind w:left="0"/>
        <w:rPr>
          <w:rFonts w:ascii="Times New Roman" w:hAnsi="Times New Roman" w:cs="Times New Roman"/>
        </w:rPr>
      </w:pPr>
      <w:r w:rsidRPr="0007153A">
        <w:rPr>
          <w:rFonts w:ascii="Times New Roman" w:hAnsi="Times New Roman" w:cs="Times New Roman"/>
        </w:rPr>
        <w:t>Tableau 1.  Grille entretien sur 6 domaines (variables explicatives de fonctionnement)</w:t>
      </w:r>
    </w:p>
    <w:p w:rsidR="0007153A" w:rsidRPr="00D15A19" w:rsidRDefault="0007153A" w:rsidP="0007153A">
      <w:pPr>
        <w:pStyle w:val="Paragraphedeliste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Source : </w:t>
      </w:r>
      <w:r w:rsidRPr="00D15A19">
        <w:rPr>
          <w:rFonts w:ascii="Times New Roman" w:hAnsi="Times New Roman" w:cs="Times New Roman"/>
          <w:i/>
        </w:rPr>
        <w:t xml:space="preserve">Sandra </w:t>
      </w:r>
      <w:proofErr w:type="spellStart"/>
      <w:r w:rsidRPr="00D15A19">
        <w:rPr>
          <w:rFonts w:ascii="Times New Roman" w:hAnsi="Times New Roman" w:cs="Times New Roman"/>
          <w:i/>
        </w:rPr>
        <w:t>Bertézène</w:t>
      </w:r>
      <w:proofErr w:type="spellEnd"/>
      <w:r w:rsidRPr="00D15A19">
        <w:rPr>
          <w:rFonts w:ascii="Times New Roman" w:hAnsi="Times New Roman" w:cs="Times New Roman"/>
          <w:i/>
        </w:rPr>
        <w:t xml:space="preserve">, enseignante-chercheuse </w:t>
      </w:r>
      <w:proofErr w:type="spellStart"/>
      <w:r w:rsidRPr="00D15A19">
        <w:rPr>
          <w:rFonts w:ascii="Times New Roman" w:hAnsi="Times New Roman" w:cs="Times New Roman"/>
          <w:i/>
        </w:rPr>
        <w:t>Cnam</w:t>
      </w:r>
      <w:proofErr w:type="spellEnd"/>
      <w:r>
        <w:rPr>
          <w:rFonts w:ascii="Times New Roman" w:hAnsi="Times New Roman" w:cs="Times New Roman"/>
          <w:i/>
        </w:rPr>
        <w:t>,</w:t>
      </w:r>
      <w:r w:rsidRPr="00D15A19">
        <w:rPr>
          <w:rFonts w:ascii="Times New Roman" w:hAnsi="Times New Roman" w:cs="Times New Roman"/>
          <w:i/>
        </w:rPr>
        <w:t xml:space="preserve"> 2021</w:t>
      </w:r>
      <w:r>
        <w:rPr>
          <w:rFonts w:ascii="Times New Roman" w:hAnsi="Times New Roman" w:cs="Times New Roman"/>
          <w:i/>
        </w:rPr>
        <w:t>.</w:t>
      </w:r>
    </w:p>
    <w:p w:rsidR="0007153A" w:rsidRPr="00081E83" w:rsidRDefault="0007153A" w:rsidP="0007153A">
      <w:pPr>
        <w:pStyle w:val="Paragraphedeliste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7153A" w:rsidRDefault="0007153A" w:rsidP="0007153A">
      <w:pPr>
        <w:pStyle w:val="Paragraphedeliste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1130"/>
        <w:gridCol w:w="1086"/>
        <w:gridCol w:w="1750"/>
        <w:gridCol w:w="1161"/>
        <w:gridCol w:w="1066"/>
        <w:gridCol w:w="1042"/>
      </w:tblGrid>
      <w:tr w:rsidR="0007153A" w:rsidTr="000C6D3D">
        <w:tc>
          <w:tcPr>
            <w:tcW w:w="1517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040D">
              <w:rPr>
                <w:rFonts w:ascii="Times New Roman" w:hAnsi="Times New Roman" w:cs="Times New Roman"/>
                <w:sz w:val="20"/>
                <w:szCs w:val="20"/>
              </w:rPr>
              <w:t>ursalaires</w:t>
            </w:r>
          </w:p>
        </w:tc>
        <w:tc>
          <w:tcPr>
            <w:tcW w:w="108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Surtemps</w:t>
            </w:r>
          </w:p>
        </w:tc>
        <w:tc>
          <w:tcPr>
            <w:tcW w:w="147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Surconsommations</w:t>
            </w:r>
          </w:p>
        </w:tc>
        <w:tc>
          <w:tcPr>
            <w:tcW w:w="1161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Non-productions</w:t>
            </w:r>
          </w:p>
        </w:tc>
        <w:tc>
          <w:tcPr>
            <w:tcW w:w="106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Non-création de potentiel</w:t>
            </w:r>
          </w:p>
        </w:tc>
        <w:tc>
          <w:tcPr>
            <w:tcW w:w="104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Risques</w:t>
            </w:r>
          </w:p>
        </w:tc>
      </w:tr>
      <w:tr w:rsidR="0007153A" w:rsidTr="000C6D3D">
        <w:tc>
          <w:tcPr>
            <w:tcW w:w="1517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Absentéisme</w:t>
            </w:r>
          </w:p>
        </w:tc>
        <w:tc>
          <w:tcPr>
            <w:tcW w:w="1130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53A" w:rsidTr="000C6D3D">
        <w:tc>
          <w:tcPr>
            <w:tcW w:w="1517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Accident de travail/maladies professionnelles</w:t>
            </w:r>
          </w:p>
        </w:tc>
        <w:tc>
          <w:tcPr>
            <w:tcW w:w="1130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53A" w:rsidTr="000C6D3D">
        <w:tc>
          <w:tcPr>
            <w:tcW w:w="1517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Rotation du personnel</w:t>
            </w:r>
          </w:p>
        </w:tc>
        <w:tc>
          <w:tcPr>
            <w:tcW w:w="1130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53A" w:rsidTr="000C6D3D">
        <w:tc>
          <w:tcPr>
            <w:tcW w:w="1517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Défauts de qualité</w:t>
            </w:r>
          </w:p>
        </w:tc>
        <w:tc>
          <w:tcPr>
            <w:tcW w:w="1130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53A" w:rsidTr="000C6D3D">
        <w:tc>
          <w:tcPr>
            <w:tcW w:w="1517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Ecarts de productivité directe</w:t>
            </w:r>
          </w:p>
        </w:tc>
        <w:tc>
          <w:tcPr>
            <w:tcW w:w="1130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07153A" w:rsidRPr="00C1040D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53A" w:rsidRDefault="0007153A" w:rsidP="0007153A">
      <w:pPr>
        <w:pStyle w:val="Paragraphedeliste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Tableau </w:t>
      </w:r>
      <w:r w:rsidRPr="00970D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70D46">
        <w:rPr>
          <w:rFonts w:ascii="Times New Roman" w:hAnsi="Times New Roman" w:cs="Times New Roman"/>
        </w:rPr>
        <w:t xml:space="preserve"> Modèle général de calcul des coûts cachés.</w:t>
      </w:r>
      <w:r w:rsidRPr="009D2D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7153A" w:rsidRPr="009D2D46" w:rsidRDefault="0007153A" w:rsidP="0007153A">
      <w:pPr>
        <w:pStyle w:val="Paragraphedeliste"/>
        <w:ind w:left="0"/>
        <w:rPr>
          <w:rFonts w:ascii="Times New Roman" w:hAnsi="Times New Roman" w:cs="Times New Roman"/>
          <w:i/>
          <w:sz w:val="20"/>
          <w:szCs w:val="20"/>
        </w:rPr>
      </w:pPr>
      <w:r w:rsidRPr="009D2D46">
        <w:rPr>
          <w:rFonts w:ascii="Times New Roman" w:hAnsi="Times New Roman" w:cs="Times New Roman"/>
          <w:i/>
          <w:sz w:val="20"/>
          <w:szCs w:val="20"/>
        </w:rPr>
        <w:t>Source : © ISEOR 1974-2017</w:t>
      </w:r>
      <w:r>
        <w:rPr>
          <w:rFonts w:ascii="Times New Roman" w:hAnsi="Times New Roman" w:cs="Times New Roman"/>
          <w:i/>
          <w:sz w:val="20"/>
          <w:szCs w:val="20"/>
        </w:rPr>
        <w:t xml:space="preserve"> (in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Cappelletti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Voyant,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Savall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2018)</w:t>
      </w:r>
    </w:p>
    <w:p w:rsidR="0007153A" w:rsidRDefault="0007153A" w:rsidP="0007153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07153A" w:rsidRDefault="0007153A" w:rsidP="0007153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026D0" w:rsidRDefault="008026D0" w:rsidP="0007153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026D0" w:rsidRDefault="008026D0" w:rsidP="0007153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026D0" w:rsidRDefault="008026D0" w:rsidP="008026D0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26D0" w:rsidRDefault="008026D0" w:rsidP="008026D0">
      <w:pPr>
        <w:pStyle w:val="Paragraphedeliste"/>
        <w:shd w:val="clear" w:color="auto" w:fill="8EAADB" w:themeFill="accent5" w:themeFillTint="99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91316">
        <w:rPr>
          <w:rFonts w:ascii="Times New Roman" w:hAnsi="Times New Roman" w:cs="Times New Roman"/>
          <w:sz w:val="20"/>
          <w:szCs w:val="20"/>
        </w:rPr>
        <w:t>Chiffre d</w:t>
      </w:r>
      <w:r>
        <w:rPr>
          <w:rFonts w:ascii="Times New Roman" w:hAnsi="Times New Roman" w:cs="Times New Roman"/>
          <w:sz w:val="20"/>
          <w:szCs w:val="20"/>
        </w:rPr>
        <w:t xml:space="preserve">’affaires </w:t>
      </w:r>
      <w:r w:rsidRPr="00991316">
        <w:rPr>
          <w:rFonts w:ascii="Times New Roman" w:hAnsi="Times New Roman" w:cs="Times New Roman"/>
          <w:sz w:val="20"/>
          <w:szCs w:val="20"/>
        </w:rPr>
        <w:t>– charges variab</w:t>
      </w:r>
      <w:r>
        <w:rPr>
          <w:rFonts w:ascii="Times New Roman" w:hAnsi="Times New Roman" w:cs="Times New Roman"/>
          <w:sz w:val="20"/>
          <w:szCs w:val="20"/>
        </w:rPr>
        <w:t xml:space="preserve">les </w:t>
      </w:r>
    </w:p>
    <w:p w:rsidR="008026D0" w:rsidRDefault="008026D0" w:rsidP="008026D0">
      <w:pPr>
        <w:pStyle w:val="Paragraphedeliste"/>
        <w:shd w:val="clear" w:color="auto" w:fill="8EAADB" w:themeFill="accent5" w:themeFillTint="99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 M</w:t>
      </w:r>
      <w:r w:rsidRPr="00991316">
        <w:rPr>
          <w:rFonts w:ascii="Times New Roman" w:hAnsi="Times New Roman" w:cs="Times New Roman"/>
          <w:sz w:val="20"/>
          <w:szCs w:val="20"/>
        </w:rPr>
        <w:t>arge brute sur coûts variables (ou valeur ajoutée sur co</w:t>
      </w:r>
      <w:r>
        <w:rPr>
          <w:rFonts w:ascii="Times New Roman" w:hAnsi="Times New Roman" w:cs="Times New Roman"/>
          <w:sz w:val="20"/>
          <w:szCs w:val="20"/>
        </w:rPr>
        <w:t>ûts variables : VACV)</w:t>
      </w:r>
    </w:p>
    <w:p w:rsidR="008026D0" w:rsidRPr="00991316" w:rsidRDefault="008026D0" w:rsidP="008026D0">
      <w:pPr>
        <w:pStyle w:val="Paragraphedeliste"/>
        <w:shd w:val="clear" w:color="auto" w:fill="8EAADB" w:themeFill="accent5" w:themeFillTint="99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CHVACV = _________________________________________________________________________</w:t>
      </w:r>
    </w:p>
    <w:p w:rsidR="008026D0" w:rsidRPr="00991316" w:rsidRDefault="008026D0" w:rsidP="008026D0">
      <w:pPr>
        <w:pStyle w:val="Paragraphedeliste"/>
        <w:shd w:val="clear" w:color="auto" w:fill="8EAADB" w:themeFill="accent5" w:themeFillTint="99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991316">
        <w:rPr>
          <w:rFonts w:ascii="Times New Roman" w:hAnsi="Times New Roman" w:cs="Times New Roman"/>
          <w:sz w:val="20"/>
          <w:szCs w:val="20"/>
        </w:rPr>
        <w:t>ombre d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991316">
        <w:rPr>
          <w:rFonts w:ascii="Times New Roman" w:hAnsi="Times New Roman" w:cs="Times New Roman"/>
          <w:sz w:val="20"/>
          <w:szCs w:val="20"/>
        </w:rPr>
        <w:t>heures de travail attendues dans l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991316">
        <w:rPr>
          <w:rFonts w:ascii="Times New Roman" w:hAnsi="Times New Roman" w:cs="Times New Roman"/>
          <w:sz w:val="20"/>
          <w:szCs w:val="20"/>
        </w:rPr>
        <w:t>année pour l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991316">
        <w:rPr>
          <w:rFonts w:ascii="Times New Roman" w:hAnsi="Times New Roman" w:cs="Times New Roman"/>
          <w:sz w:val="20"/>
          <w:szCs w:val="20"/>
        </w:rPr>
        <w:t>ensemble des salariés</w:t>
      </w:r>
    </w:p>
    <w:p w:rsidR="008026D0" w:rsidRDefault="008026D0" w:rsidP="008026D0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2. Calcul de la </w:t>
      </w:r>
      <w:r w:rsidRPr="00E1104A">
        <w:rPr>
          <w:rFonts w:ascii="Times New Roman" w:hAnsi="Times New Roman" w:cs="Times New Roman"/>
          <w:sz w:val="24"/>
          <w:szCs w:val="24"/>
        </w:rPr>
        <w:t>contribution horaire à la valeur ajoutée sur coût variable </w:t>
      </w:r>
      <w:r>
        <w:rPr>
          <w:rFonts w:ascii="Times New Roman" w:hAnsi="Times New Roman" w:cs="Times New Roman"/>
          <w:sz w:val="24"/>
          <w:szCs w:val="24"/>
        </w:rPr>
        <w:t>(CHVACV).</w:t>
      </w:r>
    </w:p>
    <w:p w:rsidR="008026D0" w:rsidRDefault="008026D0" w:rsidP="008026D0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026D0" w:rsidRPr="00991316" w:rsidRDefault="008026D0" w:rsidP="008026D0">
      <w:pPr>
        <w:pStyle w:val="Paragraphedeliste"/>
        <w:ind w:left="0"/>
        <w:rPr>
          <w:rFonts w:ascii="Times New Roman" w:hAnsi="Times New Roman" w:cs="Times New Roman"/>
          <w:sz w:val="20"/>
          <w:szCs w:val="20"/>
        </w:rPr>
      </w:pPr>
    </w:p>
    <w:p w:rsidR="0007153A" w:rsidRDefault="0007153A" w:rsidP="0007153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8026D0" w:rsidRDefault="008026D0" w:rsidP="0007153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809"/>
        <w:gridCol w:w="7400"/>
      </w:tblGrid>
      <w:tr w:rsidR="0007153A" w:rsidTr="000C6D3D">
        <w:tc>
          <w:tcPr>
            <w:tcW w:w="1809" w:type="dxa"/>
          </w:tcPr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DA8">
              <w:rPr>
                <w:rFonts w:ascii="Times New Roman" w:hAnsi="Times New Roman" w:cs="Times New Roman"/>
                <w:sz w:val="20"/>
                <w:szCs w:val="20"/>
              </w:rPr>
              <w:t>Dysfonctionnement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DA8">
              <w:rPr>
                <w:rFonts w:ascii="Times New Roman" w:hAnsi="Times New Roman" w:cs="Times New Roman"/>
                <w:sz w:val="20"/>
                <w:szCs w:val="20"/>
              </w:rPr>
              <w:t>élémentaire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00" w:type="dxa"/>
          </w:tcPr>
          <w:p w:rsidR="0007153A" w:rsidRDefault="0007153A" w:rsidP="000C6D3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DA8">
              <w:rPr>
                <w:rFonts w:ascii="Times New Roman" w:hAnsi="Times New Roman" w:cs="Times New Roman"/>
                <w:sz w:val="20"/>
                <w:szCs w:val="20"/>
              </w:rPr>
              <w:t>Un patient est infecté toutes les semaines dans le service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153A" w:rsidRDefault="0007153A" w:rsidP="000C6D3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 nécessite 8 h de soins supplémentaires et consomme l’équivalent de 300 €</w:t>
            </w:r>
          </w:p>
          <w:p w:rsidR="0007153A" w:rsidRDefault="0007153A" w:rsidP="000C6D3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d’antibiotiques supplémentaires.</w:t>
            </w:r>
          </w:p>
          <w:p w:rsidR="0007153A" w:rsidRDefault="0007153A" w:rsidP="000C6D3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Les statistiques montrent que 40 % des patients infectés par ce type de germes entament </w:t>
            </w:r>
          </w:p>
          <w:p w:rsidR="0007153A" w:rsidRDefault="0007153A" w:rsidP="000C6D3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recours auprès de la justice mais seulement 30 % sont indemnisés d’une somme </w:t>
            </w:r>
          </w:p>
          <w:p w:rsidR="0007153A" w:rsidRPr="00931DA8" w:rsidRDefault="0007153A" w:rsidP="000C6D3D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moyenne de 40 000 €.</w:t>
            </w:r>
          </w:p>
        </w:tc>
      </w:tr>
      <w:tr w:rsidR="0007153A" w:rsidTr="000C6D3D">
        <w:tc>
          <w:tcPr>
            <w:tcW w:w="1809" w:type="dxa"/>
          </w:tcPr>
          <w:p w:rsidR="0007153A" w:rsidRPr="00931DA8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Régulations</w:t>
            </w:r>
          </w:p>
        </w:tc>
        <w:tc>
          <w:tcPr>
            <w:tcW w:w="7400" w:type="dxa"/>
          </w:tcPr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 infirmier passe 8 h à réaliser des soins auprès de patients infectés, toutes les semaines : 1 infirmier x 8 h x 52 semaines x 40 € de CHVACV = </w:t>
            </w:r>
            <w:r w:rsidRPr="00ED187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D1874"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1874">
              <w:rPr>
                <w:rFonts w:ascii="Times New Roman" w:hAnsi="Times New Roman" w:cs="Times New Roman"/>
                <w:b/>
                <w:sz w:val="20"/>
                <w:szCs w:val="20"/>
              </w:rPr>
              <w:t>€ de surtemps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Pour leur infection, ces patients (en moyenne 1 par semaine) consomment chacun 300 € d’antibiotiques supplémentaires :</w:t>
            </w:r>
          </w:p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patient x 300 x 52 semaines = </w:t>
            </w:r>
            <w:r w:rsidRPr="00ED187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D1874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1874">
              <w:rPr>
                <w:rFonts w:ascii="Times New Roman" w:hAnsi="Times New Roman" w:cs="Times New Roman"/>
                <w:b/>
                <w:sz w:val="20"/>
                <w:szCs w:val="20"/>
              </w:rPr>
              <w:t>€ de surconsommations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40 % des patients infectés entament un recours auprès de la justice mais seulement 30 % sont indemnisés de 40 000 € en moyenne : </w:t>
            </w:r>
          </w:p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patients x 40 % = 20 patients x 30 % = 6 patients x 40 000 € = </w:t>
            </w:r>
            <w:r w:rsidRPr="00ED187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D1874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1874">
              <w:rPr>
                <w:rFonts w:ascii="Times New Roman" w:hAnsi="Times New Roman" w:cs="Times New Roman"/>
                <w:b/>
                <w:sz w:val="20"/>
                <w:szCs w:val="20"/>
              </w:rPr>
              <w:t>€ de risques.</w:t>
            </w:r>
          </w:p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53A" w:rsidTr="000C6D3D">
        <w:tc>
          <w:tcPr>
            <w:tcW w:w="1809" w:type="dxa"/>
          </w:tcPr>
          <w:p w:rsidR="0007153A" w:rsidRDefault="0007153A" w:rsidP="000C6D3D">
            <w:pPr>
              <w:pStyle w:val="Paragraphedeliste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des coûts </w:t>
            </w:r>
          </w:p>
          <w:p w:rsidR="0007153A" w:rsidRDefault="0007153A" w:rsidP="000C6D3D">
            <w:pPr>
              <w:pStyle w:val="Paragraphedeliste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</w:tcPr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4"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B16D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16D4">
              <w:rPr>
                <w:rFonts w:ascii="Times New Roman" w:hAnsi="Times New Roman" w:cs="Times New Roman"/>
                <w:b/>
                <w:sz w:val="20"/>
                <w:szCs w:val="20"/>
              </w:rPr>
              <w:t>€ de coûts cachés,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à imputer dans l’indicateur « défaut de qualité ».</w:t>
            </w:r>
          </w:p>
        </w:tc>
      </w:tr>
    </w:tbl>
    <w:p w:rsidR="0007153A" w:rsidRDefault="0007153A" w:rsidP="0007153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Tableau 3. </w:t>
      </w:r>
      <w:r w:rsidRPr="00AB1282">
        <w:rPr>
          <w:rFonts w:ascii="Times New Roman" w:hAnsi="Times New Roman" w:cs="Times New Roman"/>
        </w:rPr>
        <w:t>Exemple de grille de calcul d</w:t>
      </w:r>
      <w:r>
        <w:rPr>
          <w:rFonts w:ascii="Times New Roman" w:hAnsi="Times New Roman" w:cs="Times New Roman"/>
        </w:rPr>
        <w:t>’</w:t>
      </w:r>
      <w:r w:rsidRPr="00AB1282">
        <w:rPr>
          <w:rFonts w:ascii="Times New Roman" w:hAnsi="Times New Roman" w:cs="Times New Roman"/>
        </w:rPr>
        <w:t>une partie du coût d</w:t>
      </w:r>
      <w:r>
        <w:rPr>
          <w:rFonts w:ascii="Times New Roman" w:hAnsi="Times New Roman" w:cs="Times New Roman"/>
        </w:rPr>
        <w:t>’</w:t>
      </w:r>
      <w:r w:rsidRPr="00AB1282">
        <w:rPr>
          <w:rFonts w:ascii="Times New Roman" w:hAnsi="Times New Roman" w:cs="Times New Roman"/>
        </w:rPr>
        <w:t>une infection nosocomiale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53A" w:rsidRPr="004D1F20" w:rsidRDefault="0007153A" w:rsidP="0007153A">
      <w:pPr>
        <w:pStyle w:val="Paragraphedeliste"/>
        <w:ind w:left="0"/>
        <w:rPr>
          <w:rFonts w:ascii="Times New Roman" w:hAnsi="Times New Roman" w:cs="Times New Roman"/>
          <w:i/>
          <w:sz w:val="20"/>
          <w:szCs w:val="20"/>
        </w:rPr>
      </w:pPr>
      <w:r w:rsidRPr="004D1F20">
        <w:rPr>
          <w:rFonts w:ascii="Times New Roman" w:hAnsi="Times New Roman" w:cs="Times New Roman"/>
          <w:i/>
          <w:sz w:val="20"/>
          <w:szCs w:val="20"/>
        </w:rPr>
        <w:t xml:space="preserve">(Source : </w:t>
      </w:r>
      <w:proofErr w:type="spellStart"/>
      <w:r w:rsidRPr="004D1F20">
        <w:rPr>
          <w:rFonts w:ascii="Times New Roman" w:hAnsi="Times New Roman" w:cs="Times New Roman"/>
          <w:i/>
          <w:sz w:val="20"/>
          <w:szCs w:val="20"/>
        </w:rPr>
        <w:t>Bertézène</w:t>
      </w:r>
      <w:proofErr w:type="spellEnd"/>
      <w:r w:rsidRPr="004D1F20">
        <w:rPr>
          <w:rFonts w:ascii="Times New Roman" w:hAnsi="Times New Roman" w:cs="Times New Roman"/>
          <w:i/>
          <w:sz w:val="20"/>
          <w:szCs w:val="20"/>
        </w:rPr>
        <w:t xml:space="preserve">, Rondeau, 2013. </w:t>
      </w:r>
      <w:r>
        <w:rPr>
          <w:rFonts w:ascii="Times New Roman" w:hAnsi="Times New Roman" w:cs="Times New Roman"/>
          <w:i/>
          <w:sz w:val="20"/>
          <w:szCs w:val="20"/>
        </w:rPr>
        <w:t>p.</w:t>
      </w:r>
      <w:r w:rsidRPr="004D1F20">
        <w:rPr>
          <w:rFonts w:ascii="Times New Roman" w:hAnsi="Times New Roman" w:cs="Times New Roman"/>
          <w:i/>
          <w:sz w:val="20"/>
          <w:szCs w:val="20"/>
        </w:rPr>
        <w:t xml:space="preserve"> 307)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07153A" w:rsidRPr="007919A9" w:rsidRDefault="0007153A" w:rsidP="0007153A">
      <w:pPr>
        <w:pStyle w:val="Paragraphedeliste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7153A" w:rsidRDefault="0007153A" w:rsidP="0007153A">
      <w:pPr>
        <w:pStyle w:val="Paragraphedelist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26D0" w:rsidRDefault="008026D0" w:rsidP="0007153A">
      <w:pPr>
        <w:pStyle w:val="Paragraphedelist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26D0" w:rsidRDefault="008026D0" w:rsidP="0007153A">
      <w:pPr>
        <w:pStyle w:val="Paragraphedelist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6237"/>
      </w:tblGrid>
      <w:tr w:rsidR="0007153A" w:rsidTr="000C6D3D">
        <w:tc>
          <w:tcPr>
            <w:tcW w:w="6237" w:type="dxa"/>
          </w:tcPr>
          <w:p w:rsidR="0007153A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2A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CONDITIONS DE TRAVAIL (thème)</w:t>
            </w:r>
          </w:p>
          <w:p w:rsidR="0007153A" w:rsidRPr="00EE2AB0" w:rsidRDefault="0007153A" w:rsidP="000C6D3D">
            <w:pPr>
              <w:pStyle w:val="Paragraphedeliste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53A" w:rsidRPr="00EE2AB0" w:rsidRDefault="0007153A" w:rsidP="0007153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AB0">
              <w:rPr>
                <w:rFonts w:ascii="Times New Roman" w:hAnsi="Times New Roman" w:cs="Times New Roman"/>
                <w:sz w:val="18"/>
                <w:szCs w:val="18"/>
              </w:rPr>
              <w:t>Horaire de travail (sous-thème)</w:t>
            </w:r>
          </w:p>
          <w:p w:rsidR="0007153A" w:rsidRPr="00EE2AB0" w:rsidRDefault="0007153A" w:rsidP="000C6D3D">
            <w:pPr>
              <w:pStyle w:val="Paragraphedelist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A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Les horaires de travail ne sont pas adaptés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(toujours)</w:t>
            </w:r>
          </w:p>
          <w:p w:rsidR="0007153A" w:rsidRPr="00EE2AB0" w:rsidRDefault="0007153A" w:rsidP="000C6D3D">
            <w:pPr>
              <w:pStyle w:val="Paragraphedelist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153A" w:rsidRPr="00EE2AB0" w:rsidRDefault="0007153A" w:rsidP="000C6D3D">
            <w:pPr>
              <w:pStyle w:val="Paragraphedelis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5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 </w:t>
            </w:r>
            <w:r w:rsidRPr="000715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L’horaire en 7h30 ne permet presque jamais de finir notre travail à l’heure. Nous partons régulièrement en retard 15 à 20 mn que nous ne récupérons jamais ! C’est décevant. </w:t>
            </w:r>
            <w:r w:rsidRPr="0007153A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</w:t>
            </w:r>
            <w:r w:rsidRPr="00EE2AB0">
              <w:rPr>
                <w:rFonts w:ascii="Times New Roman" w:hAnsi="Times New Roman" w:cs="Times New Roman"/>
                <w:sz w:val="18"/>
                <w:szCs w:val="18"/>
              </w:rPr>
              <w:t>ersonnel)</w:t>
            </w:r>
          </w:p>
          <w:p w:rsidR="0007153A" w:rsidRPr="00EE2AB0" w:rsidRDefault="0007153A" w:rsidP="000C6D3D">
            <w:pPr>
              <w:pStyle w:val="Paragraphedelist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53A" w:rsidRPr="00EE2AB0" w:rsidRDefault="0007153A" w:rsidP="000C6D3D">
            <w:pPr>
              <w:pStyle w:val="Paragraphedelis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5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 </w:t>
            </w:r>
            <w:r w:rsidRPr="0007153A">
              <w:rPr>
                <w:rFonts w:ascii="Times New Roman" w:hAnsi="Times New Roman" w:cs="Times New Roman"/>
                <w:i/>
                <w:sz w:val="18"/>
                <w:szCs w:val="18"/>
              </w:rPr>
              <w:t>Le temps de transmission est tellement juste que je ne peux pas y rajouter</w:t>
            </w:r>
            <w:r w:rsidRPr="000715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7153A">
              <w:rPr>
                <w:rFonts w:ascii="Times New Roman" w:hAnsi="Times New Roman" w:cs="Times New Roman"/>
                <w:i/>
                <w:sz w:val="18"/>
                <w:szCs w:val="18"/>
              </w:rPr>
              <w:t>l’échange d’information professionnelle ou discuter en équipe des irritants du jour. »</w:t>
            </w:r>
            <w:r w:rsidRPr="00EE2AB0">
              <w:rPr>
                <w:rFonts w:ascii="Times New Roman" w:hAnsi="Times New Roman" w:cs="Times New Roman"/>
                <w:sz w:val="18"/>
                <w:szCs w:val="18"/>
              </w:rPr>
              <w:t xml:space="preserve"> (Encadrement)</w:t>
            </w:r>
          </w:p>
          <w:p w:rsidR="0007153A" w:rsidRPr="00EE2AB0" w:rsidRDefault="0007153A" w:rsidP="000C6D3D">
            <w:pPr>
              <w:pStyle w:val="Paragraphedelist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53A" w:rsidRPr="00EE2AB0" w:rsidRDefault="0007153A" w:rsidP="000C6D3D">
            <w:pPr>
              <w:pStyle w:val="Paragraphedeliste"/>
              <w:rPr>
                <w:rFonts w:ascii="Times New Roman" w:hAnsi="Times New Roman" w:cs="Times New Roman"/>
                <w:sz w:val="18"/>
                <w:szCs w:val="18"/>
              </w:rPr>
            </w:pPr>
            <w:r w:rsidRPr="000715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 Les services de médecine semblent rencontrer plus de difficultés avec des horaires en 7h30 en comparaison avec les services de chirurgie. L’accord sur le temps de travail signé il y a 5 ans est identique pour les 2 secteurs. » </w:t>
            </w:r>
            <w:r w:rsidRPr="00EE2AB0">
              <w:rPr>
                <w:rFonts w:ascii="Times New Roman" w:hAnsi="Times New Roman" w:cs="Times New Roman"/>
                <w:sz w:val="18"/>
                <w:szCs w:val="18"/>
              </w:rPr>
              <w:t>(Direction)</w:t>
            </w:r>
          </w:p>
          <w:p w:rsidR="0007153A" w:rsidRPr="001B4EC7" w:rsidRDefault="0007153A" w:rsidP="000C6D3D">
            <w:pPr>
              <w:pStyle w:val="Paragraphedelist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153A" w:rsidRDefault="008026D0" w:rsidP="0007153A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</w:t>
      </w:r>
      <w:bookmarkStart w:id="0" w:name="_GoBack"/>
      <w:bookmarkEnd w:id="0"/>
      <w:r w:rsidR="0007153A">
        <w:rPr>
          <w:rFonts w:ascii="Times New Roman" w:hAnsi="Times New Roman" w:cs="Times New Roman"/>
          <w:sz w:val="24"/>
          <w:szCs w:val="24"/>
        </w:rPr>
        <w:t>. Exemple d’une « image visible de la vie dysfonctionnelle de l’organisation » sur le thème des conditions de travail.</w:t>
      </w:r>
    </w:p>
    <w:p w:rsidR="0007153A" w:rsidRPr="0007153A" w:rsidRDefault="0007153A" w:rsidP="0007153A">
      <w:pPr>
        <w:pStyle w:val="Paragraphedeliste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53A">
        <w:rPr>
          <w:rFonts w:ascii="Times New Roman" w:hAnsi="Times New Roman" w:cs="Times New Roman"/>
          <w:i/>
          <w:sz w:val="24"/>
          <w:szCs w:val="24"/>
        </w:rPr>
        <w:t>Source :</w:t>
      </w:r>
      <w:r w:rsidRPr="0007153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7153A">
        <w:rPr>
          <w:rFonts w:ascii="Times New Roman" w:hAnsi="Times New Roman" w:cs="Times New Roman"/>
          <w:i/>
          <w:sz w:val="24"/>
          <w:szCs w:val="24"/>
        </w:rPr>
        <w:t xml:space="preserve">Hélène </w:t>
      </w:r>
      <w:proofErr w:type="spellStart"/>
      <w:r w:rsidRPr="0007153A">
        <w:rPr>
          <w:rFonts w:ascii="Times New Roman" w:hAnsi="Times New Roman" w:cs="Times New Roman"/>
          <w:i/>
          <w:sz w:val="24"/>
          <w:szCs w:val="24"/>
        </w:rPr>
        <w:t>Guimateaud</w:t>
      </w:r>
      <w:proofErr w:type="spellEnd"/>
      <w:r w:rsidRPr="0007153A">
        <w:rPr>
          <w:rFonts w:ascii="Times New Roman" w:hAnsi="Times New Roman" w:cs="Times New Roman"/>
          <w:i/>
          <w:sz w:val="24"/>
          <w:szCs w:val="24"/>
        </w:rPr>
        <w:t xml:space="preserve">-Vigneau, </w:t>
      </w:r>
      <w:r w:rsidRPr="0007153A">
        <w:rPr>
          <w:rFonts w:ascii="Times New Roman" w:hAnsi="Times New Roman" w:cs="Times New Roman"/>
          <w:i/>
          <w:sz w:val="20"/>
          <w:szCs w:val="20"/>
        </w:rPr>
        <w:t>2023.</w:t>
      </w:r>
    </w:p>
    <w:p w:rsidR="003D76B2" w:rsidRDefault="003D76B2">
      <w:pPr>
        <w:rPr>
          <w:color w:val="FF0000"/>
        </w:rPr>
      </w:pPr>
    </w:p>
    <w:p w:rsidR="0007153A" w:rsidRDefault="0007153A">
      <w:pPr>
        <w:rPr>
          <w:color w:val="FF0000"/>
        </w:rPr>
      </w:pPr>
    </w:p>
    <w:p w:rsidR="0007153A" w:rsidRDefault="0007153A">
      <w:pPr>
        <w:rPr>
          <w:color w:val="FF0000"/>
        </w:rPr>
      </w:pPr>
    </w:p>
    <w:p w:rsidR="0007153A" w:rsidRDefault="0007153A">
      <w:pPr>
        <w:rPr>
          <w:color w:val="FF0000"/>
        </w:rPr>
      </w:pPr>
    </w:p>
    <w:p w:rsidR="0007153A" w:rsidRDefault="0007153A">
      <w:pPr>
        <w:rPr>
          <w:color w:val="FF0000"/>
        </w:rPr>
      </w:pPr>
    </w:p>
    <w:p w:rsidR="0007153A" w:rsidRDefault="0007153A">
      <w:pPr>
        <w:rPr>
          <w:color w:val="FF0000"/>
        </w:rPr>
      </w:pPr>
    </w:p>
    <w:p w:rsidR="0007153A" w:rsidRDefault="0007153A">
      <w:pPr>
        <w:rPr>
          <w:color w:val="FF0000"/>
        </w:rPr>
      </w:pPr>
    </w:p>
    <w:p w:rsidR="0007153A" w:rsidRDefault="0007153A">
      <w:pPr>
        <w:rPr>
          <w:color w:val="FF0000"/>
        </w:rPr>
      </w:pPr>
    </w:p>
    <w:p w:rsidR="0007153A" w:rsidRDefault="0007153A">
      <w:pPr>
        <w:rPr>
          <w:color w:val="FF0000"/>
        </w:rPr>
      </w:pPr>
    </w:p>
    <w:p w:rsidR="003D76B2" w:rsidRDefault="003D76B2">
      <w:pPr>
        <w:rPr>
          <w:color w:val="FF0000"/>
        </w:rPr>
      </w:pPr>
    </w:p>
    <w:p w:rsidR="003D76B2" w:rsidRDefault="003D76B2">
      <w:pPr>
        <w:rPr>
          <w:color w:val="FF0000"/>
        </w:rPr>
      </w:pPr>
    </w:p>
    <w:p w:rsidR="003D76B2" w:rsidRDefault="003D76B2">
      <w:pPr>
        <w:rPr>
          <w:color w:val="FF0000"/>
        </w:rPr>
      </w:pPr>
    </w:p>
    <w:p w:rsidR="003D76B2" w:rsidRDefault="003D76B2"/>
    <w:p w:rsidR="003D76B2" w:rsidRDefault="003D76B2"/>
    <w:p w:rsidR="00A52B2D" w:rsidRDefault="00A52B2D"/>
    <w:p w:rsidR="00A52B2D" w:rsidRDefault="00A52B2D"/>
    <w:p w:rsidR="00A52B2D" w:rsidRDefault="00A52B2D"/>
    <w:p w:rsidR="00A52B2D" w:rsidRDefault="00A52B2D"/>
    <w:p w:rsidR="00A52B2D" w:rsidRDefault="00A52B2D"/>
    <w:p w:rsidR="00A52B2D" w:rsidRDefault="00A52B2D"/>
    <w:p w:rsidR="00A52B2D" w:rsidRDefault="00A52B2D"/>
    <w:p w:rsidR="00A52B2D" w:rsidRDefault="00A52B2D"/>
    <w:p w:rsidR="00A52B2D" w:rsidRDefault="00A52B2D"/>
    <w:p w:rsidR="00A52B2D" w:rsidRDefault="00A52B2D"/>
    <w:p w:rsidR="00A52B2D" w:rsidRDefault="00A52B2D"/>
    <w:p w:rsidR="00A52B2D" w:rsidRDefault="00A52B2D"/>
    <w:sectPr w:rsidR="00A5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555F"/>
    <w:multiLevelType w:val="hybridMultilevel"/>
    <w:tmpl w:val="B6464D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2D"/>
    <w:rsid w:val="0007153A"/>
    <w:rsid w:val="003D76B2"/>
    <w:rsid w:val="008026D0"/>
    <w:rsid w:val="00846A9A"/>
    <w:rsid w:val="00A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992C-1F3F-4C9F-872F-34E6AAE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B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6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2023-03-02T20:06:00Z</dcterms:created>
  <dcterms:modified xsi:type="dcterms:W3CDTF">2023-03-02T20:21:00Z</dcterms:modified>
</cp:coreProperties>
</file>